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B661BD">
        <w:rPr>
          <w:kern w:val="0"/>
          <w:fitText w:val="1995" w:id="-1013698048"/>
          <w:lang w:eastAsia="zh-CN"/>
        </w:rPr>
        <w:t>老発０３１５第１</w:t>
      </w:r>
      <w:r w:rsidRPr="00B661BD">
        <w:rPr>
          <w:spacing w:val="105"/>
          <w:kern w:val="0"/>
          <w:fitText w:val="1995" w:id="-1013698048"/>
          <w:lang w:eastAsia="zh-CN"/>
        </w:rPr>
        <w:t>号</w:t>
      </w:r>
    </w:p>
    <w:p w14:paraId="4057C83D" w14:textId="20B009A7" w:rsidR="0034653D" w:rsidRDefault="0034653D" w:rsidP="0034653D">
      <w:pPr>
        <w:jc w:val="right"/>
        <w:rPr>
          <w:lang w:eastAsia="zh-CN"/>
        </w:rPr>
      </w:pPr>
      <w:r w:rsidRPr="008A3101">
        <w:rPr>
          <w:spacing w:val="24"/>
          <w:kern w:val="0"/>
          <w:fitText w:val="1995" w:id="-1013698304"/>
          <w:lang w:eastAsia="zh-CN"/>
        </w:rPr>
        <w:t>令和６年３月15</w:t>
      </w:r>
      <w:r w:rsidRPr="008A3101">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B661BD">
        <w:rPr>
          <w:spacing w:val="120"/>
          <w:kern w:val="0"/>
          <w:fitText w:val="1890" w:id="-1013712384"/>
        </w:rPr>
        <w:t>（公印省略</w:t>
      </w:r>
      <w:r w:rsidRPr="00B661BD">
        <w:rPr>
          <w:spacing w:val="30"/>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34653D">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7777777" w:rsidR="008F5A4C" w:rsidRDefault="0034653D" w:rsidP="008F5A4C">
      <w:r>
        <w:lastRenderedPageBreak/>
        <w:t>第１</w:t>
      </w:r>
      <w:r w:rsidR="008F5A4C">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483260FA" w:rsidR="0034653D" w:rsidRDefault="0034653D" w:rsidP="008F5A4C">
      <w:pPr>
        <w:ind w:leftChars="100" w:left="210"/>
      </w:pPr>
      <w:r>
        <w:t>①</w:t>
      </w:r>
      <w:r w:rsidR="008F5A4C">
        <w:rPr>
          <w:rFonts w:hint="eastAsia"/>
        </w:rPr>
        <w:t xml:space="preserve">　</w:t>
      </w:r>
      <w:r>
        <w:t>事前に都道府県知事又は市町村長（特別区の区長を含む。以下同じ。）に届け出なければならないことが告示上明記されている事項</w:t>
      </w:r>
    </w:p>
    <w:p w14:paraId="2A8EA3BF" w14:textId="4FBF3AB3" w:rsidR="0034653D" w:rsidRDefault="0034653D" w:rsidP="008F5A4C">
      <w:pPr>
        <w:ind w:leftChars="100" w:left="210"/>
      </w:pPr>
      <w:r>
        <w:t>②</w:t>
      </w:r>
      <w:r w:rsidR="008F5A4C">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60B31829" w:rsidR="0066409B" w:rsidRDefault="0034653D" w:rsidP="004457BE">
      <w:r>
        <w:t>第２</w:t>
      </w:r>
      <w:r w:rsidR="008F5A4C">
        <w:rPr>
          <w:rFonts w:hint="eastAsia"/>
        </w:rPr>
        <w:t xml:space="preserve">　</w:t>
      </w:r>
      <w:r>
        <w:t>（別紙２）「介護給付費算定に係る体制等に関する届出書（指定事業者用）」の記載要領について</w:t>
      </w:r>
    </w:p>
    <w:p w14:paraId="6BD79576" w14:textId="1A263E57" w:rsidR="008F5A4C" w:rsidRDefault="0034653D" w:rsidP="008F5A4C">
      <w:pPr>
        <w:ind w:leftChars="200" w:left="420"/>
      </w:pPr>
      <w:r>
        <w:t>①</w:t>
      </w:r>
      <w:r w:rsidR="008F5A4C">
        <w:rPr>
          <w:rFonts w:hint="eastAsia"/>
        </w:rPr>
        <w:t xml:space="preserve">　</w:t>
      </w:r>
      <w:r>
        <w:t>「届出者」及び「事業所・施設の状況」については、事業所・施設の指定（許可）申請の際、記載した事項を記載させること。</w:t>
      </w:r>
    </w:p>
    <w:p w14:paraId="004978C3" w14:textId="56E7EAC4" w:rsidR="008F5A4C" w:rsidRDefault="0034653D" w:rsidP="008F5A4C">
      <w:pPr>
        <w:ind w:leftChars="200" w:left="420"/>
      </w:pPr>
      <w:r>
        <w:t>②</w:t>
      </w:r>
      <w:r w:rsidR="008F5A4C">
        <w:rPr>
          <w:rFonts w:hint="eastAsia"/>
        </w:rPr>
        <w:t xml:space="preserve">　</w:t>
      </w:r>
      <w:r>
        <w:t>「法人の種別」については、申請者が法人である場合に、その種別を記載させること。</w:t>
      </w:r>
    </w:p>
    <w:p w14:paraId="2E8C6CAA" w14:textId="21A1CAA5" w:rsidR="008F5A4C" w:rsidRDefault="0034653D" w:rsidP="008F5A4C">
      <w:pPr>
        <w:ind w:leftChars="200" w:left="420"/>
      </w:pPr>
      <w:r>
        <w:t>③</w:t>
      </w:r>
      <w:r w:rsidR="008F5A4C">
        <w:rPr>
          <w:rFonts w:hint="eastAsia"/>
        </w:rPr>
        <w:t xml:space="preserve">　</w:t>
      </w:r>
      <w:r>
        <w:t>「法人所轄庁」については、申請者が認可法人である場合に、その所轄官庁の名称を記載させること。</w:t>
      </w:r>
    </w:p>
    <w:p w14:paraId="73D1D897" w14:textId="174087AE" w:rsidR="008F5A4C" w:rsidRDefault="0034653D" w:rsidP="008F5A4C">
      <w:pPr>
        <w:ind w:leftChars="200" w:left="420"/>
      </w:pPr>
      <w:r>
        <w:t>④</w:t>
      </w:r>
      <w:r w:rsidR="008F5A4C">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51239CF" w:rsidR="008F5A4C" w:rsidRDefault="0034653D" w:rsidP="008F5A4C">
      <w:pPr>
        <w:ind w:leftChars="200" w:left="420"/>
      </w:pPr>
      <w:r>
        <w:t>⑤</w:t>
      </w:r>
      <w:r w:rsidR="008F5A4C">
        <w:rPr>
          <w:rFonts w:hint="eastAsia"/>
        </w:rPr>
        <w:t xml:space="preserve">　</w:t>
      </w:r>
      <w:r>
        <w:t>「実施事業」については、該当事業欄に〇印を記載させること。</w:t>
      </w:r>
    </w:p>
    <w:p w14:paraId="341D733C" w14:textId="1AC93C12" w:rsidR="008F5A4C" w:rsidRDefault="0034653D" w:rsidP="008F5A4C">
      <w:pPr>
        <w:ind w:leftChars="200" w:left="420"/>
      </w:pPr>
      <w:r>
        <w:t>⑥</w:t>
      </w:r>
      <w:r w:rsidR="008F5A4C">
        <w:rPr>
          <w:rFonts w:hint="eastAsia"/>
        </w:rPr>
        <w:t xml:space="preserve">　</w:t>
      </w:r>
      <w:r>
        <w:t>「異動等の区分」については、今回届出を行う事業所・施設の異動の別（１新規・２変更・３終了）について記載させること。</w:t>
      </w:r>
    </w:p>
    <w:p w14:paraId="24D112BA" w14:textId="7EA1A87A" w:rsidR="008F5A4C" w:rsidRDefault="0034653D" w:rsidP="008F5A4C">
      <w:pPr>
        <w:ind w:leftChars="200" w:left="420"/>
      </w:pPr>
      <w:r>
        <w:t>⑦</w:t>
      </w:r>
      <w:r w:rsidR="008F5A4C">
        <w:rPr>
          <w:rFonts w:hint="eastAsia"/>
        </w:rPr>
        <w:t xml:space="preserve">　</w:t>
      </w:r>
      <w:r>
        <w:t>「異動項目」については、体制状況一覧表で選択した項目をそのまま記載させること。</w:t>
      </w:r>
    </w:p>
    <w:p w14:paraId="31D52717" w14:textId="0712FDDC" w:rsidR="008F5A4C" w:rsidRDefault="0034653D" w:rsidP="008F5A4C">
      <w:pPr>
        <w:ind w:leftChars="200" w:left="420"/>
      </w:pPr>
      <w:r>
        <w:t>⑧</w:t>
      </w:r>
      <w:r w:rsidR="008F5A4C">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C93E488" w:rsidR="008F5A4C" w:rsidRDefault="0034653D" w:rsidP="008F5A4C">
      <w:r>
        <w:t>第３</w:t>
      </w:r>
      <w:r w:rsidR="008F5A4C">
        <w:rPr>
          <w:rFonts w:hint="eastAsia"/>
        </w:rPr>
        <w:t xml:space="preserve">　</w:t>
      </w:r>
      <w:r>
        <w:t>（別紙３）「介護給付費算定に係る体制等に関する進達書（基準該当事業者用）」の記載要領について</w:t>
      </w:r>
    </w:p>
    <w:p w14:paraId="3CD3412F" w14:textId="6B3FBBC2" w:rsidR="008F5A4C" w:rsidRDefault="0034653D" w:rsidP="008F5A4C">
      <w:pPr>
        <w:ind w:leftChars="200" w:left="420"/>
      </w:pPr>
      <w:r>
        <w:t>①</w:t>
      </w:r>
      <w:r w:rsidR="008F5A4C">
        <w:rPr>
          <w:rFonts w:hint="eastAsia"/>
        </w:rPr>
        <w:t xml:space="preserve">　</w:t>
      </w:r>
      <w:r>
        <w:t>「届出者」及び「事業所の状況」については、基準該当サービス事業所の登録申請の際、記載した事項を記載させること。</w:t>
      </w:r>
    </w:p>
    <w:p w14:paraId="1A599F7F" w14:textId="39A78901" w:rsidR="008F5A4C" w:rsidRDefault="0034653D" w:rsidP="008F5A4C">
      <w:pPr>
        <w:ind w:leftChars="200" w:left="420"/>
      </w:pPr>
      <w:r>
        <w:t>②</w:t>
      </w:r>
      <w:r w:rsidR="008F5A4C">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6C37F464"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14639D3D" w:rsidR="008F5A4C" w:rsidRDefault="0034653D" w:rsidP="008F5A4C">
      <w:r>
        <w:t>第４</w:t>
      </w:r>
      <w:r w:rsidR="008F5A4C">
        <w:rPr>
          <w:rFonts w:hint="eastAsia"/>
        </w:rPr>
        <w:t xml:space="preserve">　</w:t>
      </w:r>
      <w:r>
        <w:t>（別紙３―２）「介護給付費算定に係る体制等に関する進達書（地域密着型サービス事業者・地域密着型介護予防サービス事業者用）（居宅介護支援事業者・介護予防支援事業者用）」の記載要領について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03177174" w:rsidR="008F5A4C" w:rsidRDefault="0034653D" w:rsidP="008F5A4C">
      <w:pPr>
        <w:ind w:leftChars="200" w:left="420"/>
      </w:pPr>
      <w:r>
        <w:t>①</w:t>
      </w:r>
      <w:r w:rsidR="008F5A4C">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35683161" w:rsidR="008F5A4C" w:rsidRDefault="0034653D" w:rsidP="008F5A4C">
      <w:pPr>
        <w:ind w:leftChars="200" w:left="420"/>
      </w:pPr>
      <w:r>
        <w:t>②</w:t>
      </w:r>
      <w:r w:rsidR="008F5A4C">
        <w:rPr>
          <w:rFonts w:hint="eastAsia"/>
        </w:rPr>
        <w:t xml:space="preserve">　</w:t>
      </w:r>
      <w:r>
        <w:t>「市町村が定める単位の有無」については、市町村の判断により定める単位の有無別（１有・２無）について記載する。</w:t>
      </w:r>
    </w:p>
    <w:p w14:paraId="0DFDA6E1" w14:textId="793B1F98"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77777777" w:rsidR="008F5A4C" w:rsidRDefault="0034653D" w:rsidP="008F5A4C">
      <w:r>
        <w:t>第５</w:t>
      </w:r>
      <w:r w:rsidR="008F5A4C">
        <w:rPr>
          <w:rFonts w:hint="eastAsia"/>
        </w:rPr>
        <w:t xml:space="preserve">　</w:t>
      </w:r>
      <w:r>
        <w:t>体制状況一覧表の記載要領について</w:t>
      </w:r>
    </w:p>
    <w:p w14:paraId="701307C7" w14:textId="77777777" w:rsidR="008F5A4C" w:rsidRDefault="0034653D" w:rsidP="008F5A4C">
      <w:pPr>
        <w:ind w:firstLineChars="100" w:firstLine="210"/>
      </w:pPr>
      <w:r>
        <w:t>１</w:t>
      </w:r>
      <w:r w:rsidR="008F5A4C">
        <w:rPr>
          <w:rFonts w:hint="eastAsia"/>
        </w:rPr>
        <w:t xml:space="preserve">　</w:t>
      </w:r>
      <w:r>
        <w:t>各サービス共通事項</w:t>
      </w:r>
    </w:p>
    <w:p w14:paraId="149A5511" w14:textId="53FFB741" w:rsidR="008F5A4C" w:rsidRDefault="0034653D" w:rsidP="008F5A4C">
      <w:pPr>
        <w:ind w:leftChars="200" w:left="420"/>
      </w:pPr>
      <w:r>
        <w:t>①</w:t>
      </w:r>
      <w:r w:rsidR="008F5A4C">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1342C1F4" w:rsidR="008F5A4C" w:rsidRDefault="0034653D" w:rsidP="008F5A4C">
      <w:pPr>
        <w:ind w:leftChars="200" w:left="420"/>
      </w:pPr>
      <w:r>
        <w:t>②</w:t>
      </w:r>
      <w:r w:rsidR="008F5A4C">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5A276BA8" w:rsidR="008F5A4C" w:rsidRDefault="0034653D" w:rsidP="008F5A4C">
      <w:pPr>
        <w:ind w:leftChars="200" w:left="420"/>
      </w:pPr>
      <w:r>
        <w:t>③</w:t>
      </w:r>
      <w:r w:rsidR="008F5A4C">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74B5D330" w:rsidR="008F5A4C" w:rsidRDefault="0034653D" w:rsidP="008F5A4C">
      <w:pPr>
        <w:ind w:leftChars="200" w:left="420"/>
      </w:pPr>
      <w:r>
        <w:t>④</w:t>
      </w:r>
      <w:r w:rsidR="008F5A4C">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2A82DE47" w:rsidR="008F5A4C" w:rsidRDefault="0034653D" w:rsidP="008F5A4C">
      <w:pPr>
        <w:ind w:leftChars="200" w:left="420"/>
      </w:pPr>
      <w:r>
        <w:t>⑤</w:t>
      </w:r>
      <w:r w:rsidR="008F5A4C">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682B5496" w:rsidR="008F5A4C" w:rsidRDefault="0034653D" w:rsidP="008F5A4C">
      <w:pPr>
        <w:ind w:leftChars="200" w:left="420"/>
      </w:pPr>
      <w:r>
        <w:t>⑥</w:t>
      </w:r>
      <w:r w:rsidR="008F5A4C">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5A821E13" w:rsidR="006F62B2" w:rsidRDefault="0034653D" w:rsidP="008F5A4C">
      <w:pPr>
        <w:ind w:leftChars="200" w:left="420"/>
      </w:pPr>
      <w:r>
        <w:t>⑦</w:t>
      </w:r>
      <w:r w:rsidR="008F5A4C">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45DBBF7E" w14:textId="77777777" w:rsidR="004457BE" w:rsidRDefault="004457BE" w:rsidP="004457BE"/>
    <w:p w14:paraId="0DF3469C" w14:textId="77777777" w:rsidR="00B661BD" w:rsidRDefault="00B661BD" w:rsidP="00B661BD">
      <w:pPr>
        <w:ind w:leftChars="100" w:left="210"/>
      </w:pPr>
      <w:r>
        <w:t>36</w:t>
      </w:r>
      <w:r>
        <w:rPr>
          <w:rFonts w:hint="eastAsia"/>
        </w:rPr>
        <w:t xml:space="preserve">　</w:t>
      </w:r>
      <w:r>
        <w:t>地域密着型通所介護</w:t>
      </w:r>
    </w:p>
    <w:p w14:paraId="1C3020C1" w14:textId="77777777" w:rsidR="00B661BD" w:rsidRDefault="00B661BD" w:rsidP="00B661BD">
      <w:pPr>
        <w:ind w:leftChars="200" w:left="420"/>
      </w:pPr>
      <w:r>
        <w:t>①</w:t>
      </w:r>
      <w:r>
        <w:rPr>
          <w:rFonts w:hint="eastAsia"/>
        </w:rPr>
        <w:t xml:space="preserve">　</w:t>
      </w:r>
      <w:r>
        <w:t>「施設等の区分」については、施設基準第27号二イに該当する場合に「地域密着型通所介護事業所」と、同号ロに該当する場合に、「療養通所介護事業所」と記載させ、大臣基準告示第51号の３の２に該当する場合に、「療養通所介護事業所（短期利用型）」と記載させること。</w:t>
      </w:r>
    </w:p>
    <w:p w14:paraId="3577F6A0" w14:textId="77777777" w:rsidR="00B661BD" w:rsidRDefault="00B661BD" w:rsidP="00B661BD">
      <w:pPr>
        <w:ind w:leftChars="200" w:left="420"/>
      </w:pPr>
      <w:r>
        <w:t>②</w:t>
      </w:r>
      <w:r>
        <w:rPr>
          <w:rFonts w:hint="eastAsia"/>
        </w:rPr>
        <w:t xml:space="preserve">　</w:t>
      </w:r>
      <w:r>
        <w:t>「職員の欠員による減算の状況」については、指定地域密着型サービス基準第20条に定める員数を配置していない場合に、その該当する職種を記載させること。なお、職員の欠員とは、指定地域密着型通所介護の単位ごとの一月当たり職員数が当該基準に満たない場合をいう。</w:t>
      </w:r>
    </w:p>
    <w:p w14:paraId="6604F321" w14:textId="77777777" w:rsidR="00B661BD" w:rsidRDefault="00B661BD" w:rsidP="00B661BD">
      <w:pPr>
        <w:ind w:leftChars="200" w:left="420"/>
      </w:pPr>
      <w:r>
        <w:t>③</w:t>
      </w:r>
      <w:r>
        <w:rPr>
          <w:rFonts w:hint="eastAsia"/>
        </w:rPr>
        <w:t xml:space="preserve">　</w:t>
      </w:r>
      <w:r>
        <w:t>「高齢者虐待防止措置実施の有無」については、大臣基準告示第51号の３の３に該当しない場合に「減算型」と記載させること。</w:t>
      </w:r>
    </w:p>
    <w:p w14:paraId="48B4D63A" w14:textId="77777777" w:rsidR="00B661BD" w:rsidRDefault="00B661BD" w:rsidP="00B661BD">
      <w:pPr>
        <w:ind w:leftChars="200" w:left="420"/>
      </w:pPr>
      <w:r>
        <w:t>④</w:t>
      </w:r>
      <w:r>
        <w:rPr>
          <w:rFonts w:hint="eastAsia"/>
        </w:rPr>
        <w:t xml:space="preserve">　</w:t>
      </w:r>
      <w:r>
        <w:t>「業務継続計画策定の有無」については、大臣基準告示第51号の３の４に該当しない場合に「減算型」と記載させること。</w:t>
      </w:r>
    </w:p>
    <w:p w14:paraId="0FE74789" w14:textId="6AEDE0D3" w:rsidR="00B661BD" w:rsidRDefault="00B661BD" w:rsidP="00B661BD">
      <w:pPr>
        <w:ind w:leftChars="200" w:left="420"/>
      </w:pPr>
      <w:r>
        <w:t>⑤</w:t>
      </w:r>
      <w:r>
        <w:rPr>
          <w:rFonts w:hint="eastAsia"/>
        </w:rPr>
        <w:t xml:space="preserve">　</w:t>
      </w:r>
      <w:r>
        <w:t>「感染症又は災害の発生を理由とする利用者数の減少が一定以上生じている場合の対応」については、地域密着型サービス単位数表２の２のイからハまでの注８に該当する場合に、「あり」と記載させること。また、利用延人員数が減少していることが分かる書類を添付させること。</w:t>
      </w:r>
    </w:p>
    <w:p w14:paraId="5411F3E1" w14:textId="77777777" w:rsidR="00B661BD" w:rsidRDefault="00B661BD" w:rsidP="00B661BD">
      <w:pPr>
        <w:ind w:leftChars="200" w:left="420"/>
      </w:pPr>
      <w:r>
        <w:t>⑥</w:t>
      </w:r>
      <w:r>
        <w:rPr>
          <w:rFonts w:hint="eastAsia"/>
        </w:rPr>
        <w:t xml:space="preserve">　</w:t>
      </w:r>
      <w:r>
        <w:t>「時間延長サービス体制」については、実際に利用者に対して延長サービスを行うことが可能な場合に、「対応可」と記載させること。</w:t>
      </w:r>
    </w:p>
    <w:p w14:paraId="63993EC5" w14:textId="77777777" w:rsidR="00B661BD" w:rsidRDefault="00B661BD" w:rsidP="00B661BD">
      <w:pPr>
        <w:ind w:leftChars="200" w:left="420"/>
      </w:pPr>
      <w:r>
        <w:t>⑦</w:t>
      </w:r>
      <w:r>
        <w:rPr>
          <w:rFonts w:hint="eastAsia"/>
        </w:rPr>
        <w:t xml:space="preserve">　</w:t>
      </w:r>
      <w:r>
        <w:t>「共生型サービスの提供」については、障害福祉制度の指定生活介護事業所が、介護保険制度の共生型地域密着型通所介護の指定を受け、実際に要介護高齢者に対してサービス提供を行うことが可能な場合は「生活介護事業所」に、障害福祉制度の指定自立訓練事業所が、介護保険制度の共生型地域密着型通所介護の指定を受け、実際に要介護高齢者に対してサービス提供を行うことが可能な場合は「自立訓練事業所」に、障害福祉制度の指定児童発達支援事業所が、介護保険制度の共生型地域密着型通所介護の指定を受け、実際に要介護高齢者に対してサービス提供を行うことが可能な場合は「児童発達支援事業所」に、障害福祉制度の指定放課後等デイサービス事業所が、介護保険制度の共生型地域密着型通所介護の指定を受け、実際に要介護高齢者に</w:t>
      </w:r>
      <w:r>
        <w:lastRenderedPageBreak/>
        <w:t>対してサービス提供を行うことが可能な場合は「放課後等デイサービス事業所」に、それぞれ「あり」と記載させること。</w:t>
      </w:r>
    </w:p>
    <w:p w14:paraId="481F4161" w14:textId="77777777" w:rsidR="00B661BD" w:rsidRDefault="00B661BD" w:rsidP="00B661BD">
      <w:pPr>
        <w:ind w:leftChars="200" w:left="420"/>
      </w:pPr>
      <w:r>
        <w:t>⑧</w:t>
      </w:r>
      <w:r>
        <w:rPr>
          <w:rFonts w:hint="eastAsia"/>
        </w:rPr>
        <w:t xml:space="preserve">　</w:t>
      </w:r>
      <w:r>
        <w:t>「生活相談員配置等加算」については、通所介護と同様であるため、７⑧を準用すること。</w:t>
      </w:r>
    </w:p>
    <w:p w14:paraId="678EE415" w14:textId="43C327AE" w:rsidR="00B661BD" w:rsidRDefault="008A3101" w:rsidP="00B661BD">
      <w:pPr>
        <w:ind w:leftChars="300" w:left="630"/>
        <w:rPr>
          <w:rFonts w:hint="eastAsia"/>
        </w:rPr>
      </w:pPr>
      <w:r>
        <w:rPr>
          <w:rFonts w:hint="eastAsia"/>
          <w:noProof/>
        </w:rPr>
        <mc:AlternateContent>
          <mc:Choice Requires="wps">
            <w:drawing>
              <wp:anchor distT="0" distB="0" distL="114300" distR="114300" simplePos="0" relativeHeight="251659264" behindDoc="0" locked="0" layoutInCell="1" allowOverlap="1" wp14:anchorId="30D62670" wp14:editId="2CEB2CDE">
                <wp:simplePos x="0" y="0"/>
                <wp:positionH relativeFrom="column">
                  <wp:posOffset>405765</wp:posOffset>
                </wp:positionH>
                <wp:positionV relativeFrom="paragraph">
                  <wp:posOffset>22225</wp:posOffset>
                </wp:positionV>
                <wp:extent cx="5086350" cy="628650"/>
                <wp:effectExtent l="0" t="0" r="19050" b="19050"/>
                <wp:wrapNone/>
                <wp:docPr id="603177592" name="テキスト ボックス 1"/>
                <wp:cNvGraphicFramePr/>
                <a:graphic xmlns:a="http://schemas.openxmlformats.org/drawingml/2006/main">
                  <a:graphicData uri="http://schemas.microsoft.com/office/word/2010/wordprocessingShape">
                    <wps:wsp>
                      <wps:cNvSpPr txBox="1"/>
                      <wps:spPr>
                        <a:xfrm>
                          <a:off x="0" y="0"/>
                          <a:ext cx="5086350" cy="628650"/>
                        </a:xfrm>
                        <a:prstGeom prst="rect">
                          <a:avLst/>
                        </a:prstGeom>
                        <a:noFill/>
                        <a:ln w="12700">
                          <a:solidFill>
                            <a:schemeClr val="accent5">
                              <a:lumMod val="75000"/>
                            </a:schemeClr>
                          </a:solidFill>
                          <a:prstDash val="dash"/>
                        </a:ln>
                      </wps:spPr>
                      <wps:txbx>
                        <w:txbxContent>
                          <w:p w14:paraId="5B8CB328" w14:textId="77777777" w:rsidR="008A3101" w:rsidRDefault="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62670" id="_x0000_t202" coordsize="21600,21600" o:spt="202" path="m,l,21600r21600,l21600,xe">
                <v:stroke joinstyle="miter"/>
                <v:path gradientshapeok="t" o:connecttype="rect"/>
              </v:shapetype>
              <v:shape id="テキスト ボックス 1" o:spid="_x0000_s1026" type="#_x0000_t202" style="position:absolute;left:0;text-align:left;margin-left:31.95pt;margin-top:1.75pt;width:400.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" filled="f" strokecolor="#2e74b5 [2408]" strokeweight="1pt">
                <v:stroke dashstyle="dash"/>
                <v:textbox>
                  <w:txbxContent>
                    <w:p w14:paraId="5B8CB328" w14:textId="77777777" w:rsidR="008A3101" w:rsidRDefault="008A3101"/>
                  </w:txbxContent>
                </v:textbox>
              </v:shape>
            </w:pict>
          </mc:Fallback>
        </mc:AlternateContent>
      </w:r>
      <w:r w:rsidR="00B661BD">
        <w:rPr>
          <w:rFonts w:hint="eastAsia"/>
        </w:rPr>
        <w:t>７</w:t>
      </w:r>
      <w:r w:rsidR="00B661BD">
        <w:t>⑧「生活相談員配置等加算」については、大臣基準告示第14号の４に該当する場合に、「あり」と記載させること。また、（別紙21）「生活相談員配置等加算に係る届出書」を添付させること。</w:t>
      </w:r>
    </w:p>
    <w:p w14:paraId="53D0D632" w14:textId="4F6FE796" w:rsidR="00B661BD" w:rsidRDefault="008A3101" w:rsidP="00B661BD">
      <w:pPr>
        <w:ind w:leftChars="200" w:left="420"/>
      </w:pPr>
      <w:r>
        <w:rPr>
          <w:rFonts w:hint="eastAsia"/>
          <w:noProof/>
        </w:rPr>
        <mc:AlternateContent>
          <mc:Choice Requires="wps">
            <w:drawing>
              <wp:anchor distT="0" distB="0" distL="114300" distR="114300" simplePos="0" relativeHeight="251661312" behindDoc="0" locked="0" layoutInCell="1" allowOverlap="1" wp14:anchorId="35EBFFB9" wp14:editId="3FA0C5D4">
                <wp:simplePos x="0" y="0"/>
                <wp:positionH relativeFrom="column">
                  <wp:posOffset>405765</wp:posOffset>
                </wp:positionH>
                <wp:positionV relativeFrom="paragraph">
                  <wp:posOffset>225425</wp:posOffset>
                </wp:positionV>
                <wp:extent cx="5086350" cy="901700"/>
                <wp:effectExtent l="0" t="0" r="19050" b="12700"/>
                <wp:wrapNone/>
                <wp:docPr id="1852513044" name="テキスト ボックス 1"/>
                <wp:cNvGraphicFramePr/>
                <a:graphic xmlns:a="http://schemas.openxmlformats.org/drawingml/2006/main">
                  <a:graphicData uri="http://schemas.microsoft.com/office/word/2010/wordprocessingShape">
                    <wps:wsp>
                      <wps:cNvSpPr txBox="1"/>
                      <wps:spPr>
                        <a:xfrm>
                          <a:off x="0" y="0"/>
                          <a:ext cx="5086350" cy="901700"/>
                        </a:xfrm>
                        <a:prstGeom prst="rect">
                          <a:avLst/>
                        </a:prstGeom>
                        <a:noFill/>
                        <a:ln w="12700">
                          <a:solidFill>
                            <a:schemeClr val="accent5">
                              <a:lumMod val="75000"/>
                            </a:schemeClr>
                          </a:solidFill>
                          <a:prstDash val="dash"/>
                        </a:ln>
                      </wps:spPr>
                      <wps:txbx>
                        <w:txbxContent>
                          <w:p w14:paraId="626E0B62"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BFFB9" id="_x0000_s1027" type="#_x0000_t202" style="position:absolute;left:0;text-align:left;margin-left:31.95pt;margin-top:17.75pt;width:400.5pt;height:7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" filled="f" strokecolor="#2e74b5 [2408]" strokeweight="1pt">
                <v:stroke dashstyle="dash"/>
                <v:textbox>
                  <w:txbxContent>
                    <w:p w14:paraId="626E0B62" w14:textId="77777777" w:rsidR="008A3101" w:rsidRDefault="008A3101" w:rsidP="008A3101"/>
                  </w:txbxContent>
                </v:textbox>
              </v:shape>
            </w:pict>
          </mc:Fallback>
        </mc:AlternateContent>
      </w:r>
      <w:r w:rsidR="00B661BD">
        <w:t>⑨</w:t>
      </w:r>
      <w:r w:rsidR="00B661BD">
        <w:rPr>
          <w:rFonts w:hint="eastAsia"/>
        </w:rPr>
        <w:t xml:space="preserve">　</w:t>
      </w:r>
      <w:r w:rsidR="00B661BD">
        <w:t>「入浴介助加算」については、通所介護と同様であるため、７⑨を準用すること。</w:t>
      </w:r>
    </w:p>
    <w:p w14:paraId="24AA56B3" w14:textId="438E917B" w:rsidR="00B661BD" w:rsidRPr="00B661BD" w:rsidRDefault="00B661BD" w:rsidP="00B661BD">
      <w:pPr>
        <w:ind w:leftChars="300" w:left="630"/>
        <w:rPr>
          <w:rFonts w:hint="eastAsia"/>
        </w:rPr>
      </w:pPr>
      <w:r>
        <w:rPr>
          <w:rFonts w:hint="eastAsia"/>
        </w:rPr>
        <w:t>７</w:t>
      </w:r>
      <w:r>
        <w:t>⑨「入浴介助加算」については、大臣基準告示第14号の５イに該当する場合に「加算Ⅰ」と、同号ロに該当する場合に「加算Ⅱ」と記載させること。また、加算Ⅰ又は加算Ⅱいずれの場合にあっても、浴室部分の状況がわかる平面図等及び研修を実施または、実施することが分かる資料等を添付させること。</w:t>
      </w:r>
    </w:p>
    <w:p w14:paraId="32AAFF2E" w14:textId="77777777" w:rsidR="00B661BD" w:rsidRDefault="00B661BD" w:rsidP="00B661BD">
      <w:pPr>
        <w:ind w:leftChars="200" w:left="420"/>
      </w:pPr>
      <w:r>
        <w:t>⑩</w:t>
      </w:r>
      <w:r>
        <w:rPr>
          <w:rFonts w:hint="eastAsia"/>
        </w:rPr>
        <w:t xml:space="preserve">　</w:t>
      </w:r>
      <w:r>
        <w:t>「中重度者ケア体制加算」については、大臣基準告示第51号の４に該当する場合に、「あり」と記載させること。また、（別紙22）「中重度者ケア体制加算に係る届出書」及び（別紙22―２）「利用者の割合に関する計算書（中重度者ケア体制加算）」を添付させること。</w:t>
      </w:r>
    </w:p>
    <w:p w14:paraId="2EB6811C" w14:textId="77777777" w:rsidR="00B661BD" w:rsidRDefault="00B661BD" w:rsidP="00B661BD">
      <w:pPr>
        <w:ind w:leftChars="200" w:left="420"/>
      </w:pPr>
      <w:r>
        <w:t>⑪</w:t>
      </w:r>
      <w:r>
        <w:rPr>
          <w:rFonts w:hint="eastAsia"/>
        </w:rPr>
        <w:t xml:space="preserve">　</w:t>
      </w:r>
      <w:r>
        <w:t>「重度者ケア体制加算」については、大臣基準告示第51号の８の２に該当する場合に、「あり」と記載させること。</w:t>
      </w:r>
    </w:p>
    <w:p w14:paraId="7392B3D3" w14:textId="77777777" w:rsidR="00B661BD" w:rsidRDefault="00B661BD" w:rsidP="00B661BD">
      <w:pPr>
        <w:ind w:leftChars="200" w:left="420"/>
      </w:pPr>
      <w:r>
        <w:t>⑫</w:t>
      </w:r>
      <w:r>
        <w:rPr>
          <w:rFonts w:hint="eastAsia"/>
        </w:rPr>
        <w:t xml:space="preserve">　</w:t>
      </w:r>
      <w:r>
        <w:t>「生活機能向上連携加算」については、通所介護と同様であるため、７⑪を準用すること。</w:t>
      </w:r>
    </w:p>
    <w:p w14:paraId="0E24FD50" w14:textId="5B965A73"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63360" behindDoc="0" locked="0" layoutInCell="1" allowOverlap="1" wp14:anchorId="3218CAFD" wp14:editId="2DC2D182">
                <wp:simplePos x="0" y="0"/>
                <wp:positionH relativeFrom="column">
                  <wp:posOffset>399415</wp:posOffset>
                </wp:positionH>
                <wp:positionV relativeFrom="paragraph">
                  <wp:posOffset>22225</wp:posOffset>
                </wp:positionV>
                <wp:extent cx="5086350" cy="425450"/>
                <wp:effectExtent l="0" t="0" r="19050" b="12700"/>
                <wp:wrapNone/>
                <wp:docPr id="429998263" name="テキスト ボックス 1"/>
                <wp:cNvGraphicFramePr/>
                <a:graphic xmlns:a="http://schemas.openxmlformats.org/drawingml/2006/main">
                  <a:graphicData uri="http://schemas.microsoft.com/office/word/2010/wordprocessingShape">
                    <wps:wsp>
                      <wps:cNvSpPr txBox="1"/>
                      <wps:spPr>
                        <a:xfrm>
                          <a:off x="0" y="0"/>
                          <a:ext cx="5086350" cy="425450"/>
                        </a:xfrm>
                        <a:prstGeom prst="rect">
                          <a:avLst/>
                        </a:prstGeom>
                        <a:noFill/>
                        <a:ln w="12700">
                          <a:solidFill>
                            <a:schemeClr val="accent5">
                              <a:lumMod val="75000"/>
                            </a:schemeClr>
                          </a:solidFill>
                          <a:prstDash val="dash"/>
                        </a:ln>
                      </wps:spPr>
                      <wps:txbx>
                        <w:txbxContent>
                          <w:p w14:paraId="15D232DB"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18CAFD" id="_x0000_s1028" type="#_x0000_t202" style="position:absolute;left:0;text-align:left;margin-left:31.45pt;margin-top:1.75pt;width:400.5pt;height:3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" filled="f" strokecolor="#2e74b5 [2408]" strokeweight="1pt">
                <v:stroke dashstyle="dash"/>
                <v:textbox>
                  <w:txbxContent>
                    <w:p w14:paraId="15D232DB" w14:textId="77777777" w:rsidR="008A3101" w:rsidRDefault="008A3101" w:rsidP="008A3101"/>
                  </w:txbxContent>
                </v:textbox>
              </v:shape>
            </w:pict>
          </mc:Fallback>
        </mc:AlternateContent>
      </w:r>
      <w:r>
        <w:rPr>
          <w:rFonts w:hint="eastAsia"/>
        </w:rPr>
        <w:t>７</w:t>
      </w:r>
      <w:r>
        <w:t>⑪「生活機能向上連携加算」については、大臣基準告示第15号の２イに該当する場合に「加算Ⅰ」と、同号ロに該当する場合に「加算Ⅱ」と記載させること。</w:t>
      </w:r>
    </w:p>
    <w:p w14:paraId="66A37EAD" w14:textId="77777777" w:rsidR="00B661BD" w:rsidRDefault="00B661BD" w:rsidP="00B661BD">
      <w:pPr>
        <w:ind w:leftChars="200" w:left="420"/>
      </w:pPr>
      <w:r>
        <w:t>⑬</w:t>
      </w:r>
      <w:r>
        <w:rPr>
          <w:rFonts w:hint="eastAsia"/>
        </w:rPr>
        <w:t xml:space="preserve">　</w:t>
      </w:r>
      <w:r>
        <w:t>「個別機能訓練加算」については、大臣基準告示第51号の５イに該当する場合に「加算Ⅰイ」と、同号ロに該当する場合に「加算Ⅰロ」と記載させること。</w:t>
      </w:r>
    </w:p>
    <w:p w14:paraId="452DD00C" w14:textId="4817E744" w:rsidR="00B661BD" w:rsidRDefault="00B661BD" w:rsidP="00B661BD">
      <w:pPr>
        <w:ind w:leftChars="200" w:left="420"/>
      </w:pPr>
      <w:r>
        <w:t>⑭</w:t>
      </w:r>
      <w:r>
        <w:rPr>
          <w:rFonts w:hint="eastAsia"/>
        </w:rPr>
        <w:t xml:space="preserve">　</w:t>
      </w:r>
      <w:r>
        <w:t>「ＡＤＬ維持等加算〔申出〕の有無」については、通所介護と同様であるため、７⑬を準用すること。</w:t>
      </w:r>
    </w:p>
    <w:p w14:paraId="4863A7F2" w14:textId="58100653"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65408" behindDoc="0" locked="0" layoutInCell="1" allowOverlap="1" wp14:anchorId="0DBE20A1" wp14:editId="65265F3D">
                <wp:simplePos x="0" y="0"/>
                <wp:positionH relativeFrom="column">
                  <wp:posOffset>368300</wp:posOffset>
                </wp:positionH>
                <wp:positionV relativeFrom="paragraph">
                  <wp:posOffset>31115</wp:posOffset>
                </wp:positionV>
                <wp:extent cx="5086350" cy="628650"/>
                <wp:effectExtent l="0" t="0" r="19050" b="19050"/>
                <wp:wrapNone/>
                <wp:docPr id="2080266256" name="テキスト ボックス 1"/>
                <wp:cNvGraphicFramePr/>
                <a:graphic xmlns:a="http://schemas.openxmlformats.org/drawingml/2006/main">
                  <a:graphicData uri="http://schemas.microsoft.com/office/word/2010/wordprocessingShape">
                    <wps:wsp>
                      <wps:cNvSpPr txBox="1"/>
                      <wps:spPr>
                        <a:xfrm>
                          <a:off x="0" y="0"/>
                          <a:ext cx="5086350" cy="628650"/>
                        </a:xfrm>
                        <a:prstGeom prst="rect">
                          <a:avLst/>
                        </a:prstGeom>
                        <a:noFill/>
                        <a:ln w="12700">
                          <a:solidFill>
                            <a:schemeClr val="accent5">
                              <a:lumMod val="75000"/>
                            </a:schemeClr>
                          </a:solidFill>
                          <a:prstDash val="dash"/>
                        </a:ln>
                      </wps:spPr>
                      <wps:txbx>
                        <w:txbxContent>
                          <w:p w14:paraId="25EC3D1F"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E20A1" id="_x0000_s1029" type="#_x0000_t202" style="position:absolute;left:0;text-align:left;margin-left:29pt;margin-top:2.45pt;width:400.5pt;height:4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" filled="f" strokecolor="#2e74b5 [2408]" strokeweight="1pt">
                <v:stroke dashstyle="dash"/>
                <v:textbox>
                  <w:txbxContent>
                    <w:p w14:paraId="25EC3D1F" w14:textId="77777777" w:rsidR="008A3101" w:rsidRDefault="008A3101" w:rsidP="008A3101"/>
                  </w:txbxContent>
                </v:textbox>
              </v:shape>
            </w:pict>
          </mc:Fallback>
        </mc:AlternateContent>
      </w:r>
      <w:r>
        <w:rPr>
          <w:rFonts w:hint="eastAsia"/>
        </w:rPr>
        <w:t>７</w:t>
      </w:r>
      <w:r>
        <w:t>⑬「ＡＤＬ維持等加算〔申出〕の有無」については、居宅サービス単位数表注14に規定する加算について、通所介護事業所が算定の評価対象となるための申出を行う場合に「あり」と記載させること。</w:t>
      </w:r>
    </w:p>
    <w:p w14:paraId="74E57CC6" w14:textId="1280EF11" w:rsidR="00B661BD" w:rsidRDefault="00B661BD" w:rsidP="00B661BD">
      <w:pPr>
        <w:ind w:leftChars="200" w:left="420"/>
      </w:pPr>
      <w:r>
        <w:t>⑮</w:t>
      </w:r>
      <w:r>
        <w:rPr>
          <w:rFonts w:hint="eastAsia"/>
        </w:rPr>
        <w:t xml:space="preserve">　</w:t>
      </w:r>
      <w:r>
        <w:t>「認知症加算」については、通所介護と同様であるため、７⑭を準用すること。</w:t>
      </w:r>
    </w:p>
    <w:p w14:paraId="4731AD49" w14:textId="77600769"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67456" behindDoc="0" locked="0" layoutInCell="1" allowOverlap="1" wp14:anchorId="7B450311" wp14:editId="7CF7C468">
                <wp:simplePos x="0" y="0"/>
                <wp:positionH relativeFrom="column">
                  <wp:posOffset>381000</wp:posOffset>
                </wp:positionH>
                <wp:positionV relativeFrom="paragraph">
                  <wp:posOffset>37465</wp:posOffset>
                </wp:positionV>
                <wp:extent cx="5086350" cy="628650"/>
                <wp:effectExtent l="0" t="0" r="19050" b="19050"/>
                <wp:wrapNone/>
                <wp:docPr id="299491123" name="テキスト ボックス 1"/>
                <wp:cNvGraphicFramePr/>
                <a:graphic xmlns:a="http://schemas.openxmlformats.org/drawingml/2006/main">
                  <a:graphicData uri="http://schemas.microsoft.com/office/word/2010/wordprocessingShape">
                    <wps:wsp>
                      <wps:cNvSpPr txBox="1"/>
                      <wps:spPr>
                        <a:xfrm>
                          <a:off x="0" y="0"/>
                          <a:ext cx="5086350" cy="628650"/>
                        </a:xfrm>
                        <a:prstGeom prst="rect">
                          <a:avLst/>
                        </a:prstGeom>
                        <a:noFill/>
                        <a:ln w="12700">
                          <a:solidFill>
                            <a:schemeClr val="accent5">
                              <a:lumMod val="75000"/>
                            </a:schemeClr>
                          </a:solidFill>
                          <a:prstDash val="dash"/>
                        </a:ln>
                      </wps:spPr>
                      <wps:txbx>
                        <w:txbxContent>
                          <w:p w14:paraId="0C208DBE"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450311" id="_x0000_s1030" type="#_x0000_t202" style="position:absolute;left:0;text-align:left;margin-left:30pt;margin-top:2.95pt;width:400.5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" filled="f" strokecolor="#2e74b5 [2408]" strokeweight="1pt">
                <v:stroke dashstyle="dash"/>
                <v:textbox>
                  <w:txbxContent>
                    <w:p w14:paraId="0C208DBE" w14:textId="77777777" w:rsidR="008A3101" w:rsidRDefault="008A3101" w:rsidP="008A3101"/>
                  </w:txbxContent>
                </v:textbox>
              </v:shape>
            </w:pict>
          </mc:Fallback>
        </mc:AlternateContent>
      </w:r>
      <w:r>
        <w:rPr>
          <w:rFonts w:hint="eastAsia"/>
        </w:rPr>
        <w:t>７</w:t>
      </w:r>
      <w:r>
        <w:t>⑭「認知症加算」については、大臣基準告示第17号に該当する場合に、「あり」と記載させること。また、（別紙23）「認知症加算に係る届出書」及び（別紙23―２）「利用者の割合に関する計算書（認知症加算）」を添付させること。</w:t>
      </w:r>
    </w:p>
    <w:p w14:paraId="4B016F89" w14:textId="7C79638F" w:rsidR="00B661BD" w:rsidRDefault="00B661BD" w:rsidP="00B661BD">
      <w:pPr>
        <w:ind w:leftChars="200" w:left="420"/>
      </w:pPr>
      <w:r>
        <w:t>⑯</w:t>
      </w:r>
      <w:r>
        <w:rPr>
          <w:rFonts w:hint="eastAsia"/>
        </w:rPr>
        <w:t xml:space="preserve">　</w:t>
      </w:r>
      <w:r>
        <w:t>「若年性認知症利用者受入加算」については、通所介護と同様であるため、７⑮を準用すること。</w:t>
      </w:r>
    </w:p>
    <w:p w14:paraId="21B6C39D" w14:textId="5DB5B84E"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69504" behindDoc="0" locked="0" layoutInCell="1" allowOverlap="1" wp14:anchorId="7D47EFB7" wp14:editId="6D2A81A1">
                <wp:simplePos x="0" y="0"/>
                <wp:positionH relativeFrom="column">
                  <wp:posOffset>335915</wp:posOffset>
                </wp:positionH>
                <wp:positionV relativeFrom="paragraph">
                  <wp:posOffset>9525</wp:posOffset>
                </wp:positionV>
                <wp:extent cx="5086350" cy="311150"/>
                <wp:effectExtent l="0" t="0" r="19050" b="12700"/>
                <wp:wrapNone/>
                <wp:docPr id="382834408" name="テキスト ボックス 1"/>
                <wp:cNvGraphicFramePr/>
                <a:graphic xmlns:a="http://schemas.openxmlformats.org/drawingml/2006/main">
                  <a:graphicData uri="http://schemas.microsoft.com/office/word/2010/wordprocessingShape">
                    <wps:wsp>
                      <wps:cNvSpPr txBox="1"/>
                      <wps:spPr>
                        <a:xfrm>
                          <a:off x="0" y="0"/>
                          <a:ext cx="5086350" cy="311150"/>
                        </a:xfrm>
                        <a:prstGeom prst="rect">
                          <a:avLst/>
                        </a:prstGeom>
                        <a:noFill/>
                        <a:ln w="12700">
                          <a:solidFill>
                            <a:schemeClr val="accent5">
                              <a:lumMod val="75000"/>
                            </a:schemeClr>
                          </a:solidFill>
                          <a:prstDash val="dash"/>
                        </a:ln>
                      </wps:spPr>
                      <wps:txbx>
                        <w:txbxContent>
                          <w:p w14:paraId="4836D0A7"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7EFB7" id="_x0000_s1031" type="#_x0000_t202" style="position:absolute;left:0;text-align:left;margin-left:26.45pt;margin-top:.75pt;width:400.5pt;height:2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" filled="f" strokecolor="#2e74b5 [2408]" strokeweight="1pt">
                <v:stroke dashstyle="dash"/>
                <v:textbox>
                  <w:txbxContent>
                    <w:p w14:paraId="4836D0A7" w14:textId="77777777" w:rsidR="008A3101" w:rsidRDefault="008A3101" w:rsidP="008A3101"/>
                  </w:txbxContent>
                </v:textbox>
              </v:shape>
            </w:pict>
          </mc:Fallback>
        </mc:AlternateContent>
      </w:r>
      <w:r>
        <w:rPr>
          <w:rFonts w:hint="eastAsia"/>
        </w:rPr>
        <w:t>７</w:t>
      </w:r>
      <w:r>
        <w:t>⑮「若年性認知症利用者受入加算」については、大臣基準告示第18号に該当する</w:t>
      </w:r>
      <w:r>
        <w:rPr>
          <w:rFonts w:hint="eastAsia"/>
          <w:noProof/>
        </w:rPr>
        <w:lastRenderedPageBreak/>
        <mc:AlternateContent>
          <mc:Choice Requires="wps">
            <w:drawing>
              <wp:anchor distT="0" distB="0" distL="114300" distR="114300" simplePos="0" relativeHeight="251671552" behindDoc="0" locked="0" layoutInCell="1" allowOverlap="1" wp14:anchorId="7150EB9B" wp14:editId="0B9AB081">
                <wp:simplePos x="0" y="0"/>
                <wp:positionH relativeFrom="column">
                  <wp:posOffset>316865</wp:posOffset>
                </wp:positionH>
                <wp:positionV relativeFrom="paragraph">
                  <wp:posOffset>-3175</wp:posOffset>
                </wp:positionV>
                <wp:extent cx="5086350" cy="241300"/>
                <wp:effectExtent l="0" t="0" r="19050" b="25400"/>
                <wp:wrapNone/>
                <wp:docPr id="26770431" name="テキスト ボックス 1"/>
                <wp:cNvGraphicFramePr/>
                <a:graphic xmlns:a="http://schemas.openxmlformats.org/drawingml/2006/main">
                  <a:graphicData uri="http://schemas.microsoft.com/office/word/2010/wordprocessingShape">
                    <wps:wsp>
                      <wps:cNvSpPr txBox="1"/>
                      <wps:spPr>
                        <a:xfrm>
                          <a:off x="0" y="0"/>
                          <a:ext cx="5086350" cy="241300"/>
                        </a:xfrm>
                        <a:prstGeom prst="rect">
                          <a:avLst/>
                        </a:prstGeom>
                        <a:noFill/>
                        <a:ln w="12700">
                          <a:solidFill>
                            <a:schemeClr val="accent5">
                              <a:lumMod val="75000"/>
                            </a:schemeClr>
                          </a:solidFill>
                          <a:prstDash val="dash"/>
                        </a:ln>
                      </wps:spPr>
                      <wps:txbx>
                        <w:txbxContent>
                          <w:p w14:paraId="12BBE99D"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0EB9B" id="_x0000_s1032" type="#_x0000_t202" style="position:absolute;left:0;text-align:left;margin-left:24.95pt;margin-top:-.25pt;width:400.5pt;height:1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" filled="f" strokecolor="#2e74b5 [2408]" strokeweight="1pt">
                <v:stroke dashstyle="dash"/>
                <v:textbox>
                  <w:txbxContent>
                    <w:p w14:paraId="12BBE99D" w14:textId="77777777" w:rsidR="008A3101" w:rsidRDefault="008A3101" w:rsidP="008A3101"/>
                  </w:txbxContent>
                </v:textbox>
              </v:shape>
            </w:pict>
          </mc:Fallback>
        </mc:AlternateContent>
      </w:r>
      <w:r>
        <w:t>場合に、「あり」と記載させること。</w:t>
      </w:r>
    </w:p>
    <w:p w14:paraId="12BE58CD" w14:textId="04DAECA9" w:rsidR="00B661BD" w:rsidRDefault="00B661BD" w:rsidP="00B661BD">
      <w:pPr>
        <w:ind w:leftChars="200" w:left="420"/>
      </w:pPr>
      <w:r>
        <w:t>⑰</w:t>
      </w:r>
      <w:r>
        <w:rPr>
          <w:rFonts w:hint="eastAsia"/>
        </w:rPr>
        <w:t xml:space="preserve">　</w:t>
      </w:r>
      <w:r>
        <w:t>「栄養アセスメント・栄養改善体制」については、地域密着型サービス単位数表注20又は注21に該当する場合に、「あり」と記載させること。</w:t>
      </w:r>
    </w:p>
    <w:p w14:paraId="68AC74BF" w14:textId="4C7ADAFD" w:rsidR="00B661BD" w:rsidRDefault="00B661BD" w:rsidP="00B661BD">
      <w:pPr>
        <w:ind w:leftChars="200" w:left="420"/>
      </w:pPr>
      <w:r>
        <w:t>⑱</w:t>
      </w:r>
      <w:r>
        <w:rPr>
          <w:rFonts w:hint="eastAsia"/>
        </w:rPr>
        <w:t xml:space="preserve">　</w:t>
      </w:r>
      <w:r>
        <w:t>「口腔機能向上加算」については、通所介護と同様であるため、７⑰を準用すること。</w:t>
      </w:r>
    </w:p>
    <w:p w14:paraId="3B1C631C" w14:textId="202FE7BD"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73600" behindDoc="0" locked="0" layoutInCell="1" allowOverlap="1" wp14:anchorId="36C906E3" wp14:editId="03BE1FE8">
                <wp:simplePos x="0" y="0"/>
                <wp:positionH relativeFrom="column">
                  <wp:posOffset>380365</wp:posOffset>
                </wp:positionH>
                <wp:positionV relativeFrom="paragraph">
                  <wp:posOffset>9525</wp:posOffset>
                </wp:positionV>
                <wp:extent cx="5086350" cy="406400"/>
                <wp:effectExtent l="0" t="0" r="19050" b="12700"/>
                <wp:wrapNone/>
                <wp:docPr id="2129870384" name="テキスト ボックス 1"/>
                <wp:cNvGraphicFramePr/>
                <a:graphic xmlns:a="http://schemas.openxmlformats.org/drawingml/2006/main">
                  <a:graphicData uri="http://schemas.microsoft.com/office/word/2010/wordprocessingShape">
                    <wps:wsp>
                      <wps:cNvSpPr txBox="1"/>
                      <wps:spPr>
                        <a:xfrm>
                          <a:off x="0" y="0"/>
                          <a:ext cx="5086350" cy="406400"/>
                        </a:xfrm>
                        <a:prstGeom prst="rect">
                          <a:avLst/>
                        </a:prstGeom>
                        <a:noFill/>
                        <a:ln w="12700">
                          <a:solidFill>
                            <a:schemeClr val="accent5">
                              <a:lumMod val="75000"/>
                            </a:schemeClr>
                          </a:solidFill>
                          <a:prstDash val="dash"/>
                        </a:ln>
                      </wps:spPr>
                      <wps:txbx>
                        <w:txbxContent>
                          <w:p w14:paraId="48720D9E"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906E3" id="_x0000_s1033" type="#_x0000_t202" style="position:absolute;left:0;text-align:left;margin-left:29.95pt;margin-top:.75pt;width:400.5pt;height:3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" filled="f" strokecolor="#2e74b5 [2408]" strokeweight="1pt">
                <v:stroke dashstyle="dash"/>
                <v:textbox>
                  <w:txbxContent>
                    <w:p w14:paraId="48720D9E" w14:textId="77777777" w:rsidR="008A3101" w:rsidRDefault="008A3101" w:rsidP="008A3101"/>
                  </w:txbxContent>
                </v:textbox>
              </v:shape>
            </w:pict>
          </mc:Fallback>
        </mc:AlternateContent>
      </w:r>
      <w:r>
        <w:rPr>
          <w:rFonts w:hint="eastAsia"/>
        </w:rPr>
        <w:t>７</w:t>
      </w:r>
      <w:r>
        <w:t>⑰「口腔機能向上加算」については、大臣基準告示第20号に該当する場合に「あり」と記載させること。</w:t>
      </w:r>
    </w:p>
    <w:p w14:paraId="3001D668" w14:textId="40981690" w:rsidR="00B661BD" w:rsidRDefault="00B661BD" w:rsidP="00B661BD">
      <w:pPr>
        <w:ind w:leftChars="200" w:left="420"/>
      </w:pPr>
      <w:r>
        <w:t>⑲</w:t>
      </w:r>
      <w:r>
        <w:rPr>
          <w:rFonts w:hint="eastAsia"/>
        </w:rPr>
        <w:t xml:space="preserve">　</w:t>
      </w:r>
      <w:r>
        <w:t>「科学的介護推進体制加算」については、通所介護と同様であるため、７⑱を準用すること。</w:t>
      </w:r>
    </w:p>
    <w:p w14:paraId="2FAD06B3" w14:textId="25A657C6" w:rsidR="00B661BD" w:rsidRPr="008A3101" w:rsidRDefault="008A3101" w:rsidP="008A3101">
      <w:pPr>
        <w:ind w:leftChars="300" w:left="630"/>
        <w:rPr>
          <w:rFonts w:hint="eastAsia"/>
        </w:rPr>
      </w:pPr>
      <w:r>
        <w:rPr>
          <w:rFonts w:hint="eastAsia"/>
          <w:noProof/>
        </w:rPr>
        <mc:AlternateContent>
          <mc:Choice Requires="wps">
            <w:drawing>
              <wp:anchor distT="0" distB="0" distL="114300" distR="114300" simplePos="0" relativeHeight="251675648" behindDoc="0" locked="0" layoutInCell="1" allowOverlap="1" wp14:anchorId="203A6952" wp14:editId="3ADAB002">
                <wp:simplePos x="0" y="0"/>
                <wp:positionH relativeFrom="column">
                  <wp:posOffset>393065</wp:posOffset>
                </wp:positionH>
                <wp:positionV relativeFrom="paragraph">
                  <wp:posOffset>9525</wp:posOffset>
                </wp:positionV>
                <wp:extent cx="5086350" cy="450850"/>
                <wp:effectExtent l="0" t="0" r="19050" b="25400"/>
                <wp:wrapNone/>
                <wp:docPr id="721705301" name="テキスト ボックス 1"/>
                <wp:cNvGraphicFramePr/>
                <a:graphic xmlns:a="http://schemas.openxmlformats.org/drawingml/2006/main">
                  <a:graphicData uri="http://schemas.microsoft.com/office/word/2010/wordprocessingShape">
                    <wps:wsp>
                      <wps:cNvSpPr txBox="1"/>
                      <wps:spPr>
                        <a:xfrm>
                          <a:off x="0" y="0"/>
                          <a:ext cx="5086350" cy="450850"/>
                        </a:xfrm>
                        <a:prstGeom prst="rect">
                          <a:avLst/>
                        </a:prstGeom>
                        <a:noFill/>
                        <a:ln w="12700">
                          <a:solidFill>
                            <a:schemeClr val="accent5">
                              <a:lumMod val="75000"/>
                            </a:schemeClr>
                          </a:solidFill>
                          <a:prstDash val="dash"/>
                        </a:ln>
                      </wps:spPr>
                      <wps:txbx>
                        <w:txbxContent>
                          <w:p w14:paraId="2FDAABEC"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3A6952" id="_x0000_s1034" type="#_x0000_t202" style="position:absolute;left:0;text-align:left;margin-left:30.95pt;margin-top:.75pt;width:400.5pt;height: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" filled="f" strokecolor="#2e74b5 [2408]" strokeweight="1pt">
                <v:stroke dashstyle="dash"/>
                <v:textbox>
                  <w:txbxContent>
                    <w:p w14:paraId="2FDAABEC" w14:textId="77777777" w:rsidR="008A3101" w:rsidRDefault="008A3101" w:rsidP="008A3101"/>
                  </w:txbxContent>
                </v:textbox>
              </v:shape>
            </w:pict>
          </mc:Fallback>
        </mc:AlternateContent>
      </w:r>
      <w:r>
        <w:rPr>
          <w:rFonts w:hint="eastAsia"/>
        </w:rPr>
        <w:t>７</w:t>
      </w:r>
      <w:r>
        <w:t>⑱「科学的介護推進体制加算」については、居宅サービス単位数表６のイからハまでの注21に該当する場合に、「あり」と記載させること。</w:t>
      </w:r>
    </w:p>
    <w:p w14:paraId="5BB8D0EF" w14:textId="42847DF0" w:rsidR="00B661BD" w:rsidRDefault="00B661BD" w:rsidP="00B661BD">
      <w:pPr>
        <w:ind w:leftChars="200" w:left="420"/>
      </w:pPr>
      <w:r>
        <w:t>⑳</w:t>
      </w:r>
      <w:r>
        <w:rPr>
          <w:rFonts w:hint="eastAsia"/>
        </w:rPr>
        <w:t xml:space="preserve">　</w:t>
      </w:r>
      <w:r>
        <w:t>「サービス提供体制強化加算」については、地域密着型通所介護においては通所介護と同様であるため７⑲を、療養通所介護においては訪問看護と同様であるため４⑫を準用すること。</w:t>
      </w:r>
    </w:p>
    <w:p w14:paraId="32FFE0F8" w14:textId="6FE04377" w:rsidR="008A3101" w:rsidRPr="004D7787" w:rsidRDefault="008A3101" w:rsidP="008A3101">
      <w:pPr>
        <w:ind w:leftChars="300" w:left="630"/>
      </w:pPr>
      <w:r>
        <w:rPr>
          <w:rFonts w:hint="eastAsia"/>
          <w:noProof/>
        </w:rPr>
        <mc:AlternateContent>
          <mc:Choice Requires="wps">
            <w:drawing>
              <wp:anchor distT="0" distB="0" distL="114300" distR="114300" simplePos="0" relativeHeight="251677696" behindDoc="0" locked="0" layoutInCell="1" allowOverlap="1" wp14:anchorId="2D8DDC11" wp14:editId="61C5F282">
                <wp:simplePos x="0" y="0"/>
                <wp:positionH relativeFrom="column">
                  <wp:posOffset>386715</wp:posOffset>
                </wp:positionH>
                <wp:positionV relativeFrom="paragraph">
                  <wp:posOffset>22225</wp:posOffset>
                </wp:positionV>
                <wp:extent cx="5086350" cy="914400"/>
                <wp:effectExtent l="0" t="0" r="19050" b="19050"/>
                <wp:wrapNone/>
                <wp:docPr id="485494132" name="テキスト ボックス 1"/>
                <wp:cNvGraphicFramePr/>
                <a:graphic xmlns:a="http://schemas.openxmlformats.org/drawingml/2006/main">
                  <a:graphicData uri="http://schemas.microsoft.com/office/word/2010/wordprocessingShape">
                    <wps:wsp>
                      <wps:cNvSpPr txBox="1"/>
                      <wps:spPr>
                        <a:xfrm>
                          <a:off x="0" y="0"/>
                          <a:ext cx="5086350" cy="914400"/>
                        </a:xfrm>
                        <a:prstGeom prst="rect">
                          <a:avLst/>
                        </a:prstGeom>
                        <a:noFill/>
                        <a:ln w="12700">
                          <a:solidFill>
                            <a:schemeClr val="accent5">
                              <a:lumMod val="75000"/>
                            </a:schemeClr>
                          </a:solidFill>
                          <a:prstDash val="dash"/>
                        </a:ln>
                      </wps:spPr>
                      <wps:txbx>
                        <w:txbxContent>
                          <w:p w14:paraId="729F01BC"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8DDC11" id="_x0000_s1035" type="#_x0000_t202" style="position:absolute;left:0;text-align:left;margin-left:30.45pt;margin-top:1.75pt;width:400.5pt;height:1in;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" filled="f" strokecolor="#2e74b5 [2408]" strokeweight="1pt">
                <v:stroke dashstyle="dash"/>
                <v:textbox>
                  <w:txbxContent>
                    <w:p w14:paraId="729F01BC" w14:textId="77777777" w:rsidR="008A3101" w:rsidRDefault="008A3101" w:rsidP="008A3101"/>
                  </w:txbxContent>
                </v:textbox>
              </v:shape>
            </w:pict>
          </mc:Fallback>
        </mc:AlternateContent>
      </w:r>
      <w:r>
        <w:rPr>
          <w:rFonts w:hint="eastAsia"/>
        </w:rPr>
        <w:t>７</w:t>
      </w:r>
      <w:r>
        <w:t>⑲「サービス提供体制強化加算」については、大臣基準告示第23号イに該当する場合に「加算Ⅰ」と、同号ロに該当する場合に「加算Ⅱ」と、同号ハに該当する場合に「加算Ⅲ」と記載させること。また、（別紙14―３）「サービス提供体制強化加算に関する届出書」を添付させること。</w:t>
      </w:r>
    </w:p>
    <w:p w14:paraId="00679F58" w14:textId="3FF35616" w:rsidR="00B661BD" w:rsidRDefault="008A3101" w:rsidP="008A3101">
      <w:pPr>
        <w:ind w:leftChars="300" w:left="630"/>
      </w:pPr>
      <w:r>
        <w:rPr>
          <w:rFonts w:hint="eastAsia"/>
          <w:noProof/>
        </w:rPr>
        <mc:AlternateContent>
          <mc:Choice Requires="wps">
            <w:drawing>
              <wp:anchor distT="0" distB="0" distL="114300" distR="114300" simplePos="0" relativeHeight="251679744" behindDoc="0" locked="0" layoutInCell="1" allowOverlap="1" wp14:anchorId="219A5AE1" wp14:editId="28665EBD">
                <wp:simplePos x="0" y="0"/>
                <wp:positionH relativeFrom="column">
                  <wp:posOffset>393065</wp:posOffset>
                </wp:positionH>
                <wp:positionV relativeFrom="paragraph">
                  <wp:posOffset>219075</wp:posOffset>
                </wp:positionV>
                <wp:extent cx="5086350" cy="1130300"/>
                <wp:effectExtent l="0" t="0" r="19050" b="12700"/>
                <wp:wrapNone/>
                <wp:docPr id="1609169379" name="テキスト ボックス 1"/>
                <wp:cNvGraphicFramePr/>
                <a:graphic xmlns:a="http://schemas.openxmlformats.org/drawingml/2006/main">
                  <a:graphicData uri="http://schemas.microsoft.com/office/word/2010/wordprocessingShape">
                    <wps:wsp>
                      <wps:cNvSpPr txBox="1"/>
                      <wps:spPr>
                        <a:xfrm>
                          <a:off x="0" y="0"/>
                          <a:ext cx="5086350" cy="1130300"/>
                        </a:xfrm>
                        <a:prstGeom prst="rect">
                          <a:avLst/>
                        </a:prstGeom>
                        <a:noFill/>
                        <a:ln w="12700">
                          <a:solidFill>
                            <a:schemeClr val="accent5">
                              <a:lumMod val="75000"/>
                            </a:schemeClr>
                          </a:solidFill>
                          <a:prstDash val="dash"/>
                        </a:ln>
                      </wps:spPr>
                      <wps:txbx>
                        <w:txbxContent>
                          <w:p w14:paraId="01F5588C"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A5AE1" id="_x0000_s1036" type="#_x0000_t202" style="position:absolute;left:0;text-align:left;margin-left:30.95pt;margin-top:17.25pt;width:400.5pt;height:8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" filled="f" strokecolor="#2e74b5 [2408]" strokeweight="1pt">
                <v:stroke dashstyle="dash"/>
                <v:textbox>
                  <w:txbxContent>
                    <w:p w14:paraId="01F5588C" w14:textId="77777777" w:rsidR="008A3101" w:rsidRDefault="008A3101" w:rsidP="008A3101"/>
                  </w:txbxContent>
                </v:textbox>
              </v:shape>
            </w:pict>
          </mc:Fallback>
        </mc:AlternateContent>
      </w:r>
    </w:p>
    <w:p w14:paraId="3E972DD8" w14:textId="2C4A783C" w:rsidR="00B661BD" w:rsidRDefault="008A3101" w:rsidP="008A3101">
      <w:pPr>
        <w:ind w:leftChars="300" w:left="630"/>
        <w:rPr>
          <w:rFonts w:hint="eastAsia"/>
        </w:rPr>
      </w:pPr>
      <w:r>
        <w:rPr>
          <w:rFonts w:hint="eastAsia"/>
        </w:rPr>
        <w:t>４</w:t>
      </w:r>
      <w:r>
        <w:t>⑫「サービス提供体制強化加算」については、「施設等の区分」における記載に応じて、大臣基準告示第10号イに該当する場合に「加算Ⅰ（イ及びロの場合）」又は「加算Ⅰ（ハの場合）」と、同号ロに該当する場合に「加算Ⅱ（イ及びロの場合）」又は「加算Ⅱ（ハの場合）」と記載させること。また、（別紙14―２）「サービス提供体制強化加算に関する届出書」を添付させること。</w:t>
      </w:r>
    </w:p>
    <w:p w14:paraId="39D95471" w14:textId="34EA9771" w:rsidR="00B661BD" w:rsidRDefault="00B661BD" w:rsidP="00B661BD">
      <w:pPr>
        <w:ind w:leftChars="200" w:left="420"/>
      </w:pPr>
      <w:r>
        <w:t>㉑</w:t>
      </w:r>
      <w:r>
        <w:rPr>
          <w:rFonts w:hint="eastAsia"/>
        </w:rPr>
        <w:t xml:space="preserve">　</w:t>
      </w:r>
      <w:r>
        <w:t>「介護職員等処遇改善加算」については、定期巡回・随時対応型訪問介護看護と同様であるため、34⑫を準用すること。</w:t>
      </w:r>
    </w:p>
    <w:p w14:paraId="11AB56DE" w14:textId="7C940007" w:rsidR="008A3101" w:rsidRPr="004D7787" w:rsidRDefault="008A3101" w:rsidP="008A3101">
      <w:pPr>
        <w:ind w:leftChars="300" w:left="630"/>
      </w:pPr>
      <w:r>
        <w:rPr>
          <w:rFonts w:hint="eastAsia"/>
          <w:noProof/>
        </w:rPr>
        <mc:AlternateContent>
          <mc:Choice Requires="wps">
            <w:drawing>
              <wp:anchor distT="0" distB="0" distL="114300" distR="114300" simplePos="0" relativeHeight="251681792" behindDoc="0" locked="0" layoutInCell="1" allowOverlap="1" wp14:anchorId="34897AA5" wp14:editId="0D4A2A7A">
                <wp:simplePos x="0" y="0"/>
                <wp:positionH relativeFrom="column">
                  <wp:posOffset>348615</wp:posOffset>
                </wp:positionH>
                <wp:positionV relativeFrom="paragraph">
                  <wp:posOffset>28575</wp:posOffset>
                </wp:positionV>
                <wp:extent cx="5086350" cy="2292350"/>
                <wp:effectExtent l="0" t="0" r="19050" b="12700"/>
                <wp:wrapNone/>
                <wp:docPr id="1402231437" name="テキスト ボックス 1"/>
                <wp:cNvGraphicFramePr/>
                <a:graphic xmlns:a="http://schemas.openxmlformats.org/drawingml/2006/main">
                  <a:graphicData uri="http://schemas.microsoft.com/office/word/2010/wordprocessingShape">
                    <wps:wsp>
                      <wps:cNvSpPr txBox="1"/>
                      <wps:spPr>
                        <a:xfrm>
                          <a:off x="0" y="0"/>
                          <a:ext cx="5086350" cy="2292350"/>
                        </a:xfrm>
                        <a:prstGeom prst="rect">
                          <a:avLst/>
                        </a:prstGeom>
                        <a:noFill/>
                        <a:ln w="12700">
                          <a:solidFill>
                            <a:schemeClr val="accent5">
                              <a:lumMod val="75000"/>
                            </a:schemeClr>
                          </a:solidFill>
                          <a:prstDash val="dash"/>
                        </a:ln>
                      </wps:spPr>
                      <wps:txbx>
                        <w:txbxContent>
                          <w:p w14:paraId="7A4D3007"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897AA5" id="_x0000_s1037" type="#_x0000_t202" style="position:absolute;left:0;text-align:left;margin-left:27.45pt;margin-top:2.25pt;width:400.5pt;height:18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" filled="f" strokecolor="#2e74b5 [2408]" strokeweight="1pt">
                <v:stroke dashstyle="dash"/>
                <v:textbox>
                  <w:txbxContent>
                    <w:p w14:paraId="7A4D3007" w14:textId="77777777" w:rsidR="008A3101" w:rsidRDefault="008A3101" w:rsidP="008A3101"/>
                  </w:txbxContent>
                </v:textbox>
              </v:shape>
            </w:pict>
          </mc:Fallback>
        </mc:AlternateContent>
      </w:r>
      <w:r>
        <w:rPr>
          <w:rFonts w:hint="eastAsia"/>
        </w:rPr>
        <w:t>34</w:t>
      </w:r>
      <w:r>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w:t>
      </w:r>
      <w:r>
        <w:rPr>
          <w:rFonts w:hint="eastAsia"/>
          <w:noProof/>
        </w:rPr>
        <w:lastRenderedPageBreak/>
        <mc:AlternateContent>
          <mc:Choice Requires="wps">
            <w:drawing>
              <wp:anchor distT="0" distB="0" distL="114300" distR="114300" simplePos="0" relativeHeight="251683840" behindDoc="0" locked="0" layoutInCell="1" allowOverlap="1" wp14:anchorId="34288B61" wp14:editId="1330D0D0">
                <wp:simplePos x="0" y="0"/>
                <wp:positionH relativeFrom="margin">
                  <wp:align>right</wp:align>
                </wp:positionH>
                <wp:positionV relativeFrom="paragraph">
                  <wp:posOffset>-635</wp:posOffset>
                </wp:positionV>
                <wp:extent cx="5086350" cy="304800"/>
                <wp:effectExtent l="0" t="0" r="19050" b="19050"/>
                <wp:wrapNone/>
                <wp:docPr id="2016660171" name="テキスト ボックス 1"/>
                <wp:cNvGraphicFramePr/>
                <a:graphic xmlns:a="http://schemas.openxmlformats.org/drawingml/2006/main">
                  <a:graphicData uri="http://schemas.microsoft.com/office/word/2010/wordprocessingShape">
                    <wps:wsp>
                      <wps:cNvSpPr txBox="1"/>
                      <wps:spPr>
                        <a:xfrm>
                          <a:off x="0" y="0"/>
                          <a:ext cx="5086350" cy="304800"/>
                        </a:xfrm>
                        <a:prstGeom prst="rect">
                          <a:avLst/>
                        </a:prstGeom>
                        <a:noFill/>
                        <a:ln w="12700">
                          <a:solidFill>
                            <a:schemeClr val="accent5">
                              <a:lumMod val="75000"/>
                            </a:schemeClr>
                          </a:solidFill>
                          <a:prstDash val="dash"/>
                        </a:ln>
                      </wps:spPr>
                      <wps:txbx>
                        <w:txbxContent>
                          <w:p w14:paraId="7F092F06" w14:textId="77777777" w:rsidR="008A3101" w:rsidRDefault="008A3101" w:rsidP="008A3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88B61" id="_x0000_s1038" type="#_x0000_t202" style="position:absolute;left:0;text-align:left;margin-left:349.3pt;margin-top:-.05pt;width:400.5pt;height:24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" filled="f" strokecolor="#2e74b5 [2408]" strokeweight="1pt">
                <v:stroke dashstyle="dash"/>
                <v:textbox>
                  <w:txbxContent>
                    <w:p w14:paraId="7F092F06" w14:textId="77777777" w:rsidR="008A3101" w:rsidRDefault="008A3101" w:rsidP="008A3101"/>
                  </w:txbxContent>
                </v:textbox>
                <w10:wrap anchorx="margin"/>
              </v:shape>
            </w:pict>
          </mc:Fallback>
        </mc:AlternateContent>
      </w:r>
      <w:r>
        <w:t>「加算Ⅴ(14)」と記載させること。</w:t>
      </w:r>
    </w:p>
    <w:p w14:paraId="441D78E0" w14:textId="77777777" w:rsidR="00B661BD" w:rsidRPr="008A3101" w:rsidRDefault="00B661BD" w:rsidP="00B661BD">
      <w:pPr>
        <w:ind w:leftChars="200" w:left="420"/>
        <w:rPr>
          <w:rFonts w:hint="eastAsia"/>
        </w:rPr>
      </w:pPr>
    </w:p>
    <w:sectPr w:rsidR="00B661BD" w:rsidRPr="008A3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5EB64" w14:textId="77777777" w:rsidR="00DF78CB" w:rsidRDefault="00DF78CB" w:rsidP="00B661BD">
      <w:r>
        <w:separator/>
      </w:r>
    </w:p>
  </w:endnote>
  <w:endnote w:type="continuationSeparator" w:id="0">
    <w:p w14:paraId="6EF6FE9A" w14:textId="77777777" w:rsidR="00DF78CB" w:rsidRDefault="00DF78CB" w:rsidP="00B6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9FAB1" w14:textId="77777777" w:rsidR="00DF78CB" w:rsidRDefault="00DF78CB" w:rsidP="00B661BD">
      <w:r>
        <w:separator/>
      </w:r>
    </w:p>
  </w:footnote>
  <w:footnote w:type="continuationSeparator" w:id="0">
    <w:p w14:paraId="31A2534D" w14:textId="77777777" w:rsidR="00DF78CB" w:rsidRDefault="00DF78CB" w:rsidP="00B66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213451"/>
    <w:rsid w:val="0034653D"/>
    <w:rsid w:val="004457BE"/>
    <w:rsid w:val="005220B7"/>
    <w:rsid w:val="0066409B"/>
    <w:rsid w:val="006F62B2"/>
    <w:rsid w:val="008A3101"/>
    <w:rsid w:val="008F5A4C"/>
    <w:rsid w:val="00986A22"/>
    <w:rsid w:val="00AF624A"/>
    <w:rsid w:val="00B03D07"/>
    <w:rsid w:val="00B661BD"/>
    <w:rsid w:val="00D73B06"/>
    <w:rsid w:val="00DF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 w:type="paragraph" w:styleId="ae">
    <w:name w:val="header"/>
    <w:basedOn w:val="a"/>
    <w:link w:val="af"/>
    <w:uiPriority w:val="99"/>
    <w:unhideWhenUsed/>
    <w:rsid w:val="00B661BD"/>
    <w:pPr>
      <w:tabs>
        <w:tab w:val="center" w:pos="4252"/>
        <w:tab w:val="right" w:pos="8504"/>
      </w:tabs>
      <w:snapToGrid w:val="0"/>
    </w:pPr>
  </w:style>
  <w:style w:type="character" w:customStyle="1" w:styleId="af">
    <w:name w:val="ヘッダー (文字)"/>
    <w:basedOn w:val="a0"/>
    <w:link w:val="ae"/>
    <w:uiPriority w:val="99"/>
    <w:rsid w:val="00B661BD"/>
  </w:style>
  <w:style w:type="paragraph" w:styleId="af0">
    <w:name w:val="footer"/>
    <w:basedOn w:val="a"/>
    <w:link w:val="af1"/>
    <w:uiPriority w:val="99"/>
    <w:unhideWhenUsed/>
    <w:rsid w:val="00B661BD"/>
    <w:pPr>
      <w:tabs>
        <w:tab w:val="center" w:pos="4252"/>
        <w:tab w:val="right" w:pos="8504"/>
      </w:tabs>
      <w:snapToGrid w:val="0"/>
    </w:pPr>
  </w:style>
  <w:style w:type="character" w:customStyle="1" w:styleId="af1">
    <w:name w:val="フッター (文字)"/>
    <w:basedOn w:val="a0"/>
    <w:link w:val="af0"/>
    <w:uiPriority w:val="99"/>
    <w:rsid w:val="00B6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1363</Words>
  <Characters>7770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2024-03-18T08:03:00Z</dcterms:created>
  <dcterms:modified xsi:type="dcterms:W3CDTF">2024-03-19T08:42:00Z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2024-03-19T08:42:36Z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35f30932-131a-419a-af63-200437e586e6</vt:lpwstr>
  </property>
  <property fmtid="{D5CDD505-2E9C-101B-9397-08002B2CF9AE}" pid="8" name="MSIP_Label_defa4170-0d19-0005-0004-bc88714345d2_ContentBits">
    <vt:lpwstr>0</vt:lpwstr>
  </property>
</Properties>
</file>